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667DB" w14:textId="54CD5D76" w:rsidR="00D842C2" w:rsidRPr="00834D00" w:rsidRDefault="001033CB" w:rsidP="00340FC2">
      <w:pPr>
        <w:spacing w:afterLines="50" w:after="180" w:line="440" w:lineRule="exact"/>
        <w:jc w:val="both"/>
        <w:rPr>
          <w:rFonts w:ascii="Times New Roman" w:eastAsia="標楷體" w:hAnsi="Times New Roman" w:cs="Times New Roman"/>
          <w:color w:val="000000" w:themeColor="text1"/>
          <w:sz w:val="36"/>
          <w:szCs w:val="32"/>
        </w:rPr>
      </w:pPr>
      <w:r w:rsidRPr="00834D00">
        <w:rPr>
          <w:rFonts w:ascii="Times New Roman" w:eastAsia="標楷體" w:hAnsi="Times New Roman" w:cs="Times New Roman"/>
          <w:color w:val="000000" w:themeColor="text1"/>
          <w:sz w:val="36"/>
          <w:szCs w:val="32"/>
        </w:rPr>
        <w:t>中華民國證券商業同業公會</w:t>
      </w:r>
      <w:bookmarkStart w:id="0" w:name="_Hlk213753777"/>
      <w:r w:rsidR="0073648C" w:rsidRPr="00834D00">
        <w:rPr>
          <w:rFonts w:ascii="Times New Roman" w:eastAsia="標楷體" w:hAnsi="Times New Roman" w:cs="Times New Roman" w:hint="eastAsia"/>
          <w:color w:val="000000" w:themeColor="text1"/>
          <w:sz w:val="36"/>
          <w:szCs w:val="32"/>
        </w:rPr>
        <w:t>「</w:t>
      </w:r>
      <w:r w:rsidR="00872D31" w:rsidRPr="00872D31">
        <w:rPr>
          <w:rFonts w:ascii="Times New Roman" w:eastAsia="標楷體" w:hAnsi="Times New Roman" w:cs="Times New Roman" w:hint="eastAsia"/>
          <w:color w:val="000000" w:themeColor="text1"/>
          <w:sz w:val="36"/>
          <w:szCs w:val="32"/>
        </w:rPr>
        <w:t>證券承銷商受託辦理發行人募集與發行有價證券承銷商評估報告之評估查核程序</w:t>
      </w:r>
      <w:r w:rsidR="0073648C" w:rsidRPr="00834D00">
        <w:rPr>
          <w:rFonts w:ascii="Times New Roman" w:eastAsia="標楷體" w:hAnsi="Times New Roman" w:cs="Times New Roman" w:hint="eastAsia"/>
          <w:color w:val="000000" w:themeColor="text1"/>
          <w:sz w:val="36"/>
          <w:szCs w:val="32"/>
        </w:rPr>
        <w:t>」</w:t>
      </w:r>
      <w:r w:rsidR="00481FB5" w:rsidRPr="003F45D5">
        <w:rPr>
          <w:rFonts w:ascii="Times New Roman" w:eastAsia="標楷體" w:hAnsi="Times New Roman" w:cs="Times New Roman" w:hint="eastAsia"/>
          <w:color w:val="000000" w:themeColor="text1"/>
          <w:sz w:val="36"/>
          <w:szCs w:val="32"/>
        </w:rPr>
        <w:t>第</w:t>
      </w:r>
      <w:r w:rsidR="003F45D5" w:rsidRPr="003F45D5">
        <w:rPr>
          <w:rFonts w:ascii="Times New Roman" w:eastAsia="標楷體" w:hAnsi="Times New Roman" w:cs="Times New Roman" w:hint="eastAsia"/>
          <w:color w:val="000000" w:themeColor="text1"/>
          <w:sz w:val="36"/>
          <w:szCs w:val="32"/>
        </w:rPr>
        <w:t>參點</w:t>
      </w:r>
      <w:r w:rsidRPr="00834D00">
        <w:rPr>
          <w:rFonts w:ascii="Times New Roman" w:eastAsia="標楷體" w:hAnsi="Times New Roman" w:cs="Times New Roman" w:hint="eastAsia"/>
          <w:color w:val="000000" w:themeColor="text1"/>
          <w:sz w:val="36"/>
          <w:szCs w:val="32"/>
        </w:rPr>
        <w:t>修正條文對照表</w:t>
      </w:r>
      <w:bookmarkEnd w:id="0"/>
    </w:p>
    <w:tbl>
      <w:tblPr>
        <w:tblStyle w:val="a3"/>
        <w:tblW w:w="9350" w:type="dxa"/>
        <w:tblLook w:val="04A0" w:firstRow="1" w:lastRow="0" w:firstColumn="1" w:lastColumn="0" w:noHBand="0" w:noVBand="1"/>
      </w:tblPr>
      <w:tblGrid>
        <w:gridCol w:w="3116"/>
        <w:gridCol w:w="3116"/>
        <w:gridCol w:w="3118"/>
      </w:tblGrid>
      <w:tr w:rsidR="006751E6" w:rsidRPr="00340FC2" w14:paraId="5FDF3BE1" w14:textId="77777777" w:rsidTr="00FA54C4">
        <w:trPr>
          <w:trHeight w:val="454"/>
        </w:trPr>
        <w:tc>
          <w:tcPr>
            <w:tcW w:w="3116" w:type="dxa"/>
            <w:vAlign w:val="center"/>
          </w:tcPr>
          <w:p w14:paraId="1E7F392C" w14:textId="43AE6CA2" w:rsidR="00D842C2" w:rsidRPr="00340FC2" w:rsidRDefault="003D2D1D" w:rsidP="00340FC2">
            <w:pPr>
              <w:snapToGrid w:val="0"/>
              <w:jc w:val="center"/>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修正條文</w:t>
            </w:r>
          </w:p>
        </w:tc>
        <w:tc>
          <w:tcPr>
            <w:tcW w:w="3116" w:type="dxa"/>
            <w:vAlign w:val="center"/>
          </w:tcPr>
          <w:p w14:paraId="11C10196" w14:textId="41C78253" w:rsidR="00D842C2" w:rsidRPr="00340FC2" w:rsidRDefault="003D2D1D" w:rsidP="00340FC2">
            <w:pPr>
              <w:snapToGrid w:val="0"/>
              <w:jc w:val="center"/>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現行條文</w:t>
            </w:r>
          </w:p>
        </w:tc>
        <w:tc>
          <w:tcPr>
            <w:tcW w:w="3118" w:type="dxa"/>
            <w:vAlign w:val="center"/>
          </w:tcPr>
          <w:p w14:paraId="34669E9A" w14:textId="6AB53E8D" w:rsidR="00D842C2" w:rsidRPr="00340FC2" w:rsidRDefault="003D2D1D" w:rsidP="00340FC2">
            <w:pPr>
              <w:snapToGrid w:val="0"/>
              <w:jc w:val="center"/>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說明</w:t>
            </w:r>
          </w:p>
        </w:tc>
      </w:tr>
      <w:tr w:rsidR="00872D31" w:rsidRPr="00340FC2" w14:paraId="33913617" w14:textId="77777777" w:rsidTr="00FA54C4">
        <w:tc>
          <w:tcPr>
            <w:tcW w:w="3116" w:type="dxa"/>
          </w:tcPr>
          <w:p w14:paraId="49EC9D58" w14:textId="77777777" w:rsidR="00872D31" w:rsidRPr="00340FC2" w:rsidRDefault="00872D31" w:rsidP="00340FC2">
            <w:pPr>
              <w:snapToGrid w:val="0"/>
              <w:ind w:left="480" w:hangingChars="200" w:hanging="48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參、現金增資發行新股</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含附認股權特別股</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者：</w:t>
            </w:r>
          </w:p>
          <w:p w14:paraId="155D0613" w14:textId="77777777" w:rsidR="00872D31" w:rsidRPr="00340FC2" w:rsidRDefault="00872D31" w:rsidP="00340FC2">
            <w:pPr>
              <w:snapToGrid w:val="0"/>
              <w:ind w:left="480" w:hangingChars="200" w:hanging="48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一、</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六、</w:t>
            </w:r>
            <w:r w:rsidRPr="00340FC2">
              <w:rPr>
                <w:rFonts w:ascii="Times New Roman" w:eastAsia="標楷體" w:hAnsi="Times New Roman" w:cs="Times New Roman" w:hint="eastAsia"/>
                <w:color w:val="000000" w:themeColor="text1"/>
                <w:szCs w:val="24"/>
              </w:rPr>
              <w:t xml:space="preserve"> </w:t>
            </w:r>
            <w:r w:rsidRPr="00340FC2">
              <w:rPr>
                <w:rFonts w:ascii="Times New Roman" w:eastAsia="標楷體" w:hAnsi="Times New Roman" w:cs="Times New Roman" w:hint="eastAsia"/>
                <w:color w:val="000000" w:themeColor="text1"/>
                <w:szCs w:val="24"/>
              </w:rPr>
              <w:t>略。</w:t>
            </w:r>
          </w:p>
          <w:p w14:paraId="2CBEB6DC" w14:textId="77777777" w:rsidR="00872D31" w:rsidRPr="00340FC2" w:rsidRDefault="00872D31" w:rsidP="00340FC2">
            <w:pPr>
              <w:snapToGrid w:val="0"/>
              <w:ind w:left="480" w:hangingChars="200" w:hanging="48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七、就下列事項逐項評估，並綜合評估本次募集與發行有價證券計畫是否具有可行性、必要性及合理性：</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如屬「發行人募集與發行有價證券處理準則」第八條第三項規定之案件，得不適用關於必要性之規定</w:t>
            </w:r>
            <w:r w:rsidRPr="00340FC2">
              <w:rPr>
                <w:rFonts w:ascii="Times New Roman" w:eastAsia="標楷體" w:hAnsi="Times New Roman" w:cs="Times New Roman" w:hint="eastAsia"/>
                <w:color w:val="000000" w:themeColor="text1"/>
                <w:szCs w:val="24"/>
              </w:rPr>
              <w:t>)</w:t>
            </w:r>
          </w:p>
          <w:p w14:paraId="76C45E3C" w14:textId="608D934C" w:rsidR="00872D31" w:rsidRPr="00340FC2" w:rsidRDefault="00872D31" w:rsidP="00340FC2">
            <w:pPr>
              <w:snapToGrid w:val="0"/>
              <w:ind w:leftChars="100" w:left="600" w:hangingChars="150" w:hanging="36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w:t>
            </w:r>
            <w:proofErr w:type="gramStart"/>
            <w:r w:rsidRPr="00340FC2">
              <w:rPr>
                <w:rFonts w:ascii="Times New Roman" w:eastAsia="標楷體" w:hAnsi="Times New Roman" w:cs="Times New Roman" w:hint="eastAsia"/>
                <w:color w:val="000000" w:themeColor="text1"/>
                <w:szCs w:val="24"/>
              </w:rPr>
              <w:t>一</w:t>
            </w:r>
            <w:proofErr w:type="gramEnd"/>
            <w:r w:rsidR="00C1636C" w:rsidRPr="00340FC2">
              <w:rPr>
                <w:rFonts w:ascii="Times New Roman" w:eastAsia="標楷體" w:hAnsi="Times New Roman" w:cs="Times New Roman"/>
                <w:color w:val="000000" w:themeColor="text1"/>
                <w:szCs w:val="24"/>
              </w:rPr>
              <w:t>)</w:t>
            </w:r>
            <w:r w:rsidR="00C1636C"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w:t>
            </w:r>
            <w:r w:rsidR="00FA54C4" w:rsidRPr="00340FC2">
              <w:rPr>
                <w:rFonts w:ascii="Times New Roman" w:eastAsia="標楷體" w:hAnsi="Times New Roman" w:cs="Times New Roman" w:hint="eastAsia"/>
                <w:color w:val="000000" w:themeColor="text1"/>
                <w:szCs w:val="24"/>
              </w:rPr>
              <w:t>七</w:t>
            </w:r>
            <w:r w:rsidRPr="00340FC2">
              <w:rPr>
                <w:rFonts w:ascii="Times New Roman" w:eastAsia="標楷體" w:hAnsi="Times New Roman" w:cs="Times New Roman" w:hint="eastAsia"/>
                <w:color w:val="000000" w:themeColor="text1"/>
                <w:szCs w:val="24"/>
              </w:rPr>
              <w:t>)</w:t>
            </w:r>
            <w:r w:rsidR="00C1636C" w:rsidRPr="00340FC2">
              <w:rPr>
                <w:rFonts w:ascii="Times New Roman" w:eastAsia="標楷體" w:hAnsi="Times New Roman" w:cs="Times New Roman" w:hint="eastAsia"/>
                <w:color w:val="000000" w:themeColor="text1"/>
                <w:szCs w:val="24"/>
              </w:rPr>
              <w:t xml:space="preserve"> </w:t>
            </w:r>
            <w:r w:rsidR="00C1636C" w:rsidRPr="00340FC2">
              <w:rPr>
                <w:rFonts w:ascii="Times New Roman" w:eastAsia="標楷體" w:hAnsi="Times New Roman" w:cs="Times New Roman" w:hint="eastAsia"/>
                <w:color w:val="000000" w:themeColor="text1"/>
                <w:szCs w:val="24"/>
              </w:rPr>
              <w:t>略。</w:t>
            </w:r>
          </w:p>
          <w:p w14:paraId="332583CB" w14:textId="1EA066E2" w:rsidR="00872D31" w:rsidRPr="00340FC2" w:rsidRDefault="00872D31" w:rsidP="006C17F6">
            <w:pPr>
              <w:snapToGrid w:val="0"/>
              <w:ind w:leftChars="97" w:left="672" w:hangingChars="183" w:hanging="439"/>
              <w:jc w:val="both"/>
              <w:rPr>
                <w:rFonts w:ascii="Times New Roman" w:eastAsia="標楷體" w:hAnsi="Times New Roman" w:cs="Times New Roman"/>
                <w:color w:val="000000" w:themeColor="text1"/>
                <w:szCs w:val="24"/>
                <w:u w:val="single"/>
              </w:rPr>
            </w:pPr>
            <w:r w:rsidRPr="00340FC2">
              <w:rPr>
                <w:rFonts w:ascii="Times New Roman" w:eastAsia="標楷體" w:hAnsi="Times New Roman" w:cs="Times New Roman" w:hint="eastAsia"/>
                <w:color w:val="000000" w:themeColor="text1"/>
                <w:szCs w:val="24"/>
                <w:u w:val="single"/>
              </w:rPr>
              <w:t>(</w:t>
            </w:r>
            <w:r w:rsidRPr="00340FC2">
              <w:rPr>
                <w:rFonts w:ascii="Times New Roman" w:eastAsia="標楷體" w:hAnsi="Times New Roman" w:cs="Times New Roman" w:hint="eastAsia"/>
                <w:color w:val="000000" w:themeColor="text1"/>
                <w:szCs w:val="24"/>
                <w:u w:val="single"/>
              </w:rPr>
              <w:t>七</w:t>
            </w:r>
            <w:r w:rsidRPr="00340FC2">
              <w:rPr>
                <w:rFonts w:ascii="Times New Roman" w:eastAsia="標楷體" w:hAnsi="Times New Roman" w:cs="Times New Roman" w:hint="eastAsia"/>
                <w:color w:val="000000" w:themeColor="text1"/>
                <w:szCs w:val="24"/>
                <w:u w:val="single"/>
              </w:rPr>
              <w:t>-</w:t>
            </w:r>
            <w:proofErr w:type="gramStart"/>
            <w:r w:rsidRPr="00340FC2">
              <w:rPr>
                <w:rFonts w:ascii="Times New Roman" w:eastAsia="標楷體" w:hAnsi="Times New Roman" w:cs="Times New Roman" w:hint="eastAsia"/>
                <w:color w:val="000000" w:themeColor="text1"/>
                <w:szCs w:val="24"/>
                <w:u w:val="single"/>
              </w:rPr>
              <w:t>一</w:t>
            </w:r>
            <w:proofErr w:type="gramEnd"/>
            <w:r w:rsidRPr="00340FC2">
              <w:rPr>
                <w:rFonts w:ascii="Times New Roman" w:eastAsia="標楷體" w:hAnsi="Times New Roman" w:cs="Times New Roman" w:hint="eastAsia"/>
                <w:color w:val="000000" w:themeColor="text1"/>
                <w:szCs w:val="24"/>
                <w:u w:val="single"/>
              </w:rPr>
              <w:t>)</w:t>
            </w:r>
            <w:r w:rsidR="00FA54C4" w:rsidRPr="00340FC2">
              <w:rPr>
                <w:rFonts w:ascii="Times New Roman" w:eastAsia="標楷體" w:hAnsi="Times New Roman" w:cs="Times New Roman" w:hint="eastAsia"/>
                <w:color w:val="000000" w:themeColor="text1"/>
                <w:szCs w:val="24"/>
                <w:u w:val="single"/>
              </w:rPr>
              <w:t>已上市</w:t>
            </w:r>
            <w:r w:rsidR="001B4B82">
              <w:rPr>
                <w:rFonts w:ascii="Times New Roman" w:eastAsia="標楷體" w:hAnsi="Times New Roman" w:cs="Times New Roman" w:hint="eastAsia"/>
                <w:color w:val="000000" w:themeColor="text1"/>
                <w:szCs w:val="24"/>
                <w:u w:val="single"/>
              </w:rPr>
              <w:t>(</w:t>
            </w:r>
            <w:r w:rsidR="00FA54C4" w:rsidRPr="00340FC2">
              <w:rPr>
                <w:rFonts w:ascii="Times New Roman" w:eastAsia="標楷體" w:hAnsi="Times New Roman" w:cs="Times New Roman" w:hint="eastAsia"/>
                <w:color w:val="000000" w:themeColor="text1"/>
                <w:szCs w:val="24"/>
                <w:u w:val="single"/>
              </w:rPr>
              <w:t>櫃</w:t>
            </w:r>
            <w:r w:rsidR="001B4B82">
              <w:rPr>
                <w:rFonts w:ascii="Times New Roman" w:eastAsia="標楷體" w:hAnsi="Times New Roman" w:cs="Times New Roman" w:hint="eastAsia"/>
                <w:color w:val="000000" w:themeColor="text1"/>
                <w:szCs w:val="24"/>
                <w:u w:val="single"/>
              </w:rPr>
              <w:t>)</w:t>
            </w:r>
            <w:r w:rsidR="00FA54C4" w:rsidRPr="00340FC2">
              <w:rPr>
                <w:rFonts w:ascii="Times New Roman" w:eastAsia="標楷體" w:hAnsi="Times New Roman" w:cs="Times New Roman" w:hint="eastAsia"/>
                <w:color w:val="000000" w:themeColor="text1"/>
                <w:szCs w:val="24"/>
                <w:u w:val="single"/>
              </w:rPr>
              <w:t>公司</w:t>
            </w:r>
            <w:proofErr w:type="gramStart"/>
            <w:r w:rsidRPr="00340FC2">
              <w:rPr>
                <w:rFonts w:ascii="Times New Roman" w:eastAsia="標楷體" w:hAnsi="Times New Roman" w:cs="Times New Roman" w:hint="eastAsia"/>
                <w:color w:val="000000" w:themeColor="text1"/>
                <w:szCs w:val="24"/>
                <w:u w:val="single"/>
              </w:rPr>
              <w:t>本次</w:t>
            </w:r>
            <w:r w:rsidR="00807F63">
              <w:rPr>
                <w:rFonts w:ascii="Times New Roman" w:eastAsia="標楷體" w:hAnsi="Times New Roman" w:cs="Times New Roman" w:hint="eastAsia"/>
                <w:color w:val="000000" w:themeColor="text1"/>
                <w:szCs w:val="24"/>
                <w:u w:val="single"/>
              </w:rPr>
              <w:t>募</w:t>
            </w:r>
            <w:r w:rsidRPr="00340FC2">
              <w:rPr>
                <w:rFonts w:ascii="Times New Roman" w:eastAsia="標楷體" w:hAnsi="Times New Roman" w:cs="Times New Roman" w:hint="eastAsia"/>
                <w:color w:val="000000" w:themeColor="text1"/>
                <w:szCs w:val="24"/>
                <w:u w:val="single"/>
              </w:rPr>
              <w:t>資</w:t>
            </w:r>
            <w:proofErr w:type="gramEnd"/>
            <w:r w:rsidRPr="00340FC2">
              <w:rPr>
                <w:rFonts w:ascii="Times New Roman" w:eastAsia="標楷體" w:hAnsi="Times New Roman" w:cs="Times New Roman" w:hint="eastAsia"/>
                <w:color w:val="000000" w:themeColor="text1"/>
                <w:szCs w:val="24"/>
                <w:u w:val="single"/>
              </w:rPr>
              <w:t>計畫</w:t>
            </w:r>
            <w:r w:rsidR="00C52D63" w:rsidRPr="00340FC2">
              <w:rPr>
                <w:rFonts w:ascii="Times New Roman" w:eastAsia="標楷體" w:hAnsi="Times New Roman" w:cs="Times New Roman" w:hint="eastAsia"/>
                <w:color w:val="000000" w:themeColor="text1"/>
                <w:szCs w:val="24"/>
                <w:u w:val="single"/>
              </w:rPr>
              <w:t>之</w:t>
            </w:r>
            <w:r w:rsidR="00807F63">
              <w:rPr>
                <w:rFonts w:ascii="Times New Roman" w:eastAsia="標楷體" w:hAnsi="Times New Roman" w:cs="Times New Roman" w:hint="eastAsia"/>
                <w:color w:val="000000" w:themeColor="text1"/>
                <w:szCs w:val="24"/>
                <w:u w:val="single"/>
              </w:rPr>
              <w:t>申報年度或前一年度</w:t>
            </w:r>
            <w:r w:rsidRPr="00340FC2">
              <w:rPr>
                <w:rFonts w:ascii="Times New Roman" w:eastAsia="標楷體" w:hAnsi="Times New Roman" w:cs="Times New Roman" w:hint="eastAsia"/>
                <w:color w:val="000000" w:themeColor="text1"/>
                <w:szCs w:val="24"/>
                <w:u w:val="single"/>
              </w:rPr>
              <w:t>有辦理現金減資者，查閱該公司有關</w:t>
            </w:r>
            <w:proofErr w:type="gramStart"/>
            <w:r w:rsidRPr="00340FC2">
              <w:rPr>
                <w:rFonts w:ascii="Times New Roman" w:eastAsia="標楷體" w:hAnsi="Times New Roman" w:cs="Times New Roman" w:hint="eastAsia"/>
                <w:color w:val="000000" w:themeColor="text1"/>
                <w:szCs w:val="24"/>
                <w:u w:val="single"/>
              </w:rPr>
              <w:t>本次</w:t>
            </w:r>
            <w:r w:rsidR="00807F63">
              <w:rPr>
                <w:rFonts w:ascii="Times New Roman" w:eastAsia="標楷體" w:hAnsi="Times New Roman" w:cs="Times New Roman" w:hint="eastAsia"/>
                <w:color w:val="000000" w:themeColor="text1"/>
                <w:szCs w:val="24"/>
                <w:u w:val="single"/>
              </w:rPr>
              <w:t>募</w:t>
            </w:r>
            <w:r w:rsidR="00FB133B" w:rsidRPr="00340FC2">
              <w:rPr>
                <w:rFonts w:ascii="Times New Roman" w:eastAsia="標楷體" w:hAnsi="Times New Roman" w:cs="Times New Roman" w:hint="eastAsia"/>
                <w:color w:val="000000" w:themeColor="text1"/>
                <w:szCs w:val="24"/>
                <w:u w:val="single"/>
              </w:rPr>
              <w:t>資</w:t>
            </w:r>
            <w:proofErr w:type="gramEnd"/>
            <w:r w:rsidR="00FB133B" w:rsidRPr="00340FC2">
              <w:rPr>
                <w:rFonts w:ascii="Times New Roman" w:eastAsia="標楷體" w:hAnsi="Times New Roman" w:cs="Times New Roman" w:hint="eastAsia"/>
                <w:color w:val="000000" w:themeColor="text1"/>
                <w:szCs w:val="24"/>
                <w:u w:val="single"/>
              </w:rPr>
              <w:t>計畫之</w:t>
            </w:r>
            <w:r w:rsidRPr="00340FC2">
              <w:rPr>
                <w:rFonts w:ascii="Times New Roman" w:eastAsia="標楷體" w:hAnsi="Times New Roman" w:cs="Times New Roman" w:hint="eastAsia"/>
                <w:color w:val="000000" w:themeColor="text1"/>
                <w:szCs w:val="24"/>
                <w:u w:val="single"/>
              </w:rPr>
              <w:t>審計委員會、董事會、股東會議事錄及相關資料，</w:t>
            </w:r>
            <w:r w:rsidR="00BB1C5B" w:rsidRPr="00340FC2">
              <w:rPr>
                <w:rFonts w:ascii="Times New Roman" w:eastAsia="標楷體" w:hAnsi="Times New Roman" w:cs="Times New Roman" w:hint="eastAsia"/>
                <w:color w:val="000000" w:themeColor="text1"/>
                <w:szCs w:val="24"/>
                <w:u w:val="single"/>
              </w:rPr>
              <w:t>加強評估</w:t>
            </w:r>
            <w:proofErr w:type="gramStart"/>
            <w:r w:rsidR="00BB1C5B" w:rsidRPr="00340FC2">
              <w:rPr>
                <w:rFonts w:ascii="Times New Roman" w:eastAsia="標楷體" w:hAnsi="Times New Roman" w:cs="Times New Roman" w:hint="eastAsia"/>
                <w:color w:val="000000" w:themeColor="text1"/>
                <w:szCs w:val="24"/>
                <w:u w:val="single"/>
              </w:rPr>
              <w:t>本次</w:t>
            </w:r>
            <w:r w:rsidR="00807F63">
              <w:rPr>
                <w:rFonts w:ascii="Times New Roman" w:eastAsia="標楷體" w:hAnsi="Times New Roman" w:cs="Times New Roman" w:hint="eastAsia"/>
                <w:color w:val="000000" w:themeColor="text1"/>
                <w:szCs w:val="24"/>
                <w:u w:val="single"/>
              </w:rPr>
              <w:t>募</w:t>
            </w:r>
            <w:r w:rsidR="00BB1C5B" w:rsidRPr="00340FC2">
              <w:rPr>
                <w:rFonts w:ascii="Times New Roman" w:eastAsia="標楷體" w:hAnsi="Times New Roman" w:cs="Times New Roman" w:hint="eastAsia"/>
                <w:color w:val="000000" w:themeColor="text1"/>
                <w:szCs w:val="24"/>
                <w:u w:val="single"/>
              </w:rPr>
              <w:t>資</w:t>
            </w:r>
            <w:proofErr w:type="gramEnd"/>
            <w:r w:rsidR="00BB1C5B" w:rsidRPr="00340FC2">
              <w:rPr>
                <w:rFonts w:ascii="Times New Roman" w:eastAsia="標楷體" w:hAnsi="Times New Roman" w:cs="Times New Roman" w:hint="eastAsia"/>
                <w:color w:val="000000" w:themeColor="text1"/>
                <w:szCs w:val="24"/>
                <w:u w:val="single"/>
              </w:rPr>
              <w:t>之必要性及合理性，及</w:t>
            </w:r>
            <w:r w:rsidRPr="00340FC2">
              <w:rPr>
                <w:rFonts w:ascii="Times New Roman" w:eastAsia="標楷體" w:hAnsi="Times New Roman" w:cs="Times New Roman" w:hint="eastAsia"/>
                <w:color w:val="000000" w:themeColor="text1"/>
                <w:szCs w:val="24"/>
                <w:u w:val="single"/>
              </w:rPr>
              <w:t>了解是否已將現金減資後</w:t>
            </w:r>
            <w:proofErr w:type="gramStart"/>
            <w:r w:rsidRPr="00340FC2">
              <w:rPr>
                <w:rFonts w:ascii="Times New Roman" w:eastAsia="標楷體" w:hAnsi="Times New Roman" w:cs="Times New Roman" w:hint="eastAsia"/>
                <w:color w:val="000000" w:themeColor="text1"/>
                <w:szCs w:val="24"/>
                <w:u w:val="single"/>
              </w:rPr>
              <w:t>再行募資</w:t>
            </w:r>
            <w:proofErr w:type="gramEnd"/>
            <w:r w:rsidRPr="00340FC2">
              <w:rPr>
                <w:rFonts w:ascii="Times New Roman" w:eastAsia="標楷體" w:hAnsi="Times New Roman" w:cs="Times New Roman" w:hint="eastAsia"/>
                <w:color w:val="000000" w:themeColor="text1"/>
                <w:szCs w:val="24"/>
                <w:u w:val="single"/>
              </w:rPr>
              <w:t>之必要性及合理性進行討論且做成書面決議，並</w:t>
            </w:r>
            <w:r w:rsidR="00203933" w:rsidRPr="00340FC2">
              <w:rPr>
                <w:rFonts w:ascii="Times New Roman" w:eastAsia="標楷體" w:hAnsi="Times New Roman" w:cs="Times New Roman" w:hint="eastAsia"/>
                <w:color w:val="000000" w:themeColor="text1"/>
                <w:szCs w:val="24"/>
                <w:u w:val="single"/>
              </w:rPr>
              <w:t>提報股東會說明現金減資後</w:t>
            </w:r>
            <w:proofErr w:type="gramStart"/>
            <w:r w:rsidR="00203933" w:rsidRPr="00340FC2">
              <w:rPr>
                <w:rFonts w:ascii="Times New Roman" w:eastAsia="標楷體" w:hAnsi="Times New Roman" w:cs="Times New Roman" w:hint="eastAsia"/>
                <w:color w:val="000000" w:themeColor="text1"/>
                <w:szCs w:val="24"/>
                <w:u w:val="single"/>
              </w:rPr>
              <w:t>再行募資</w:t>
            </w:r>
            <w:proofErr w:type="gramEnd"/>
            <w:r w:rsidR="00203933" w:rsidRPr="00340FC2">
              <w:rPr>
                <w:rFonts w:ascii="Times New Roman" w:eastAsia="標楷體" w:hAnsi="Times New Roman" w:cs="Times New Roman" w:hint="eastAsia"/>
                <w:color w:val="000000" w:themeColor="text1"/>
                <w:szCs w:val="24"/>
                <w:u w:val="single"/>
              </w:rPr>
              <w:t>之必要性及合理性</w:t>
            </w:r>
            <w:r w:rsidRPr="00340FC2">
              <w:rPr>
                <w:rFonts w:ascii="Times New Roman" w:eastAsia="標楷體" w:hAnsi="Times New Roman" w:cs="Times New Roman" w:hint="eastAsia"/>
                <w:color w:val="000000" w:themeColor="text1"/>
                <w:szCs w:val="24"/>
                <w:u w:val="single"/>
              </w:rPr>
              <w:t>。</w:t>
            </w:r>
          </w:p>
          <w:p w14:paraId="24B937E6" w14:textId="77777777" w:rsidR="004125D0" w:rsidRPr="00340FC2" w:rsidRDefault="004125D0" w:rsidP="00340FC2">
            <w:pPr>
              <w:snapToGrid w:val="0"/>
              <w:ind w:leftChars="100" w:left="600" w:hangingChars="150" w:hanging="36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八</w:t>
            </w:r>
            <w:r w:rsidRPr="00340FC2">
              <w:rPr>
                <w:rFonts w:ascii="Times New Roman" w:eastAsia="標楷體" w:hAnsi="Times New Roman" w:cs="Times New Roman" w:hint="eastAsia"/>
                <w:color w:val="000000" w:themeColor="text1"/>
                <w:szCs w:val="24"/>
              </w:rPr>
              <w:t xml:space="preserve">) </w:t>
            </w:r>
            <w:r w:rsidRPr="00340FC2">
              <w:rPr>
                <w:rFonts w:ascii="Times New Roman" w:eastAsia="標楷體" w:hAnsi="Times New Roman" w:cs="Times New Roman" w:hint="eastAsia"/>
                <w:color w:val="000000" w:themeColor="text1"/>
                <w:szCs w:val="24"/>
              </w:rPr>
              <w:t>略</w:t>
            </w:r>
            <w:r w:rsidRPr="00340FC2">
              <w:rPr>
                <w:rFonts w:ascii="Times New Roman" w:eastAsia="標楷體" w:hAnsi="Times New Roman" w:cs="Times New Roman"/>
                <w:color w:val="000000" w:themeColor="text1"/>
                <w:szCs w:val="24"/>
              </w:rPr>
              <w:t xml:space="preserve"> </w:t>
            </w:r>
          </w:p>
          <w:p w14:paraId="120920F3" w14:textId="70A23384" w:rsidR="00872D31" w:rsidRPr="00340FC2" w:rsidRDefault="004125D0" w:rsidP="00340FC2">
            <w:pPr>
              <w:snapToGrid w:val="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七之一、</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十二、</w:t>
            </w:r>
            <w:r w:rsidRPr="00340FC2">
              <w:rPr>
                <w:rFonts w:ascii="Times New Roman" w:eastAsia="標楷體" w:hAnsi="Times New Roman" w:cs="Times New Roman" w:hint="eastAsia"/>
                <w:color w:val="000000" w:themeColor="text1"/>
                <w:szCs w:val="24"/>
              </w:rPr>
              <w:t xml:space="preserve"> </w:t>
            </w:r>
            <w:r w:rsidRPr="00340FC2">
              <w:rPr>
                <w:rFonts w:ascii="Times New Roman" w:eastAsia="標楷體" w:hAnsi="Times New Roman" w:cs="Times New Roman" w:hint="eastAsia"/>
                <w:color w:val="000000" w:themeColor="text1"/>
                <w:szCs w:val="24"/>
              </w:rPr>
              <w:t>略</w:t>
            </w:r>
          </w:p>
        </w:tc>
        <w:tc>
          <w:tcPr>
            <w:tcW w:w="3116" w:type="dxa"/>
          </w:tcPr>
          <w:p w14:paraId="7E489CF5" w14:textId="3F558F3B" w:rsidR="00872D31" w:rsidRPr="00340FC2" w:rsidRDefault="00872D31" w:rsidP="00340FC2">
            <w:pPr>
              <w:snapToGrid w:val="0"/>
              <w:ind w:left="480" w:hangingChars="200" w:hanging="48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參、現金增資發行新股</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含附認股權特別股</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者：</w:t>
            </w:r>
          </w:p>
          <w:p w14:paraId="3A73FDE7" w14:textId="7436DCE9" w:rsidR="00872D31" w:rsidRPr="00340FC2" w:rsidRDefault="00872D31" w:rsidP="00340FC2">
            <w:pPr>
              <w:snapToGrid w:val="0"/>
              <w:ind w:left="480" w:hangingChars="200" w:hanging="48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一、</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六、</w:t>
            </w:r>
            <w:r w:rsidRPr="00340FC2">
              <w:rPr>
                <w:rFonts w:ascii="Times New Roman" w:eastAsia="標楷體" w:hAnsi="Times New Roman" w:cs="Times New Roman" w:hint="eastAsia"/>
                <w:color w:val="000000" w:themeColor="text1"/>
                <w:szCs w:val="24"/>
              </w:rPr>
              <w:t xml:space="preserve"> </w:t>
            </w:r>
            <w:r w:rsidRPr="00340FC2">
              <w:rPr>
                <w:rFonts w:ascii="Times New Roman" w:eastAsia="標楷體" w:hAnsi="Times New Roman" w:cs="Times New Roman" w:hint="eastAsia"/>
                <w:color w:val="000000" w:themeColor="text1"/>
                <w:szCs w:val="24"/>
              </w:rPr>
              <w:t>略。</w:t>
            </w:r>
          </w:p>
          <w:p w14:paraId="4E9F798C" w14:textId="77777777" w:rsidR="00872D31" w:rsidRPr="00340FC2" w:rsidRDefault="00872D31" w:rsidP="00340FC2">
            <w:pPr>
              <w:snapToGrid w:val="0"/>
              <w:ind w:left="480" w:hangingChars="200" w:hanging="48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七、就下列事項逐項評估，並綜合評估本次募集與發行有價證券計畫是否具有可行性、必要性及合理性：</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如屬「發行人募集與發行有價證券處理準則」第八條第三項規定之案件，得不適用關於必要性之規定</w:t>
            </w:r>
            <w:r w:rsidRPr="00340FC2">
              <w:rPr>
                <w:rFonts w:ascii="Times New Roman" w:eastAsia="標楷體" w:hAnsi="Times New Roman" w:cs="Times New Roman" w:hint="eastAsia"/>
                <w:color w:val="000000" w:themeColor="text1"/>
                <w:szCs w:val="24"/>
              </w:rPr>
              <w:t>)</w:t>
            </w:r>
          </w:p>
          <w:p w14:paraId="13468EFE" w14:textId="484F11A5" w:rsidR="00C1636C" w:rsidRPr="00340FC2" w:rsidRDefault="00C1636C" w:rsidP="00340FC2">
            <w:pPr>
              <w:snapToGrid w:val="0"/>
              <w:ind w:leftChars="100" w:left="600" w:hangingChars="150" w:hanging="36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w:t>
            </w:r>
            <w:proofErr w:type="gramStart"/>
            <w:r w:rsidRPr="00340FC2">
              <w:rPr>
                <w:rFonts w:ascii="Times New Roman" w:eastAsia="標楷體" w:hAnsi="Times New Roman" w:cs="Times New Roman" w:hint="eastAsia"/>
                <w:color w:val="000000" w:themeColor="text1"/>
                <w:szCs w:val="24"/>
              </w:rPr>
              <w:t>一</w:t>
            </w:r>
            <w:proofErr w:type="gramEnd"/>
            <w:r w:rsidRPr="00340FC2">
              <w:rPr>
                <w:rFonts w:ascii="Times New Roman" w:eastAsia="標楷體" w:hAnsi="Times New Roman" w:cs="Times New Roman"/>
                <w:color w:val="000000" w:themeColor="text1"/>
                <w:szCs w:val="24"/>
              </w:rPr>
              <w:t>)</w:t>
            </w:r>
            <w:r w:rsidRPr="00340FC2">
              <w:rPr>
                <w:rFonts w:ascii="Times New Roman" w:eastAsia="標楷體" w:hAnsi="Times New Roman" w:cs="Times New Roman" w:hint="eastAsia"/>
                <w:color w:val="000000" w:themeColor="text1"/>
                <w:szCs w:val="24"/>
              </w:rPr>
              <w:t>~(</w:t>
            </w:r>
            <w:r w:rsidR="00FA54C4" w:rsidRPr="00340FC2">
              <w:rPr>
                <w:rFonts w:ascii="Times New Roman" w:eastAsia="標楷體" w:hAnsi="Times New Roman" w:cs="Times New Roman" w:hint="eastAsia"/>
                <w:color w:val="000000" w:themeColor="text1"/>
                <w:szCs w:val="24"/>
              </w:rPr>
              <w:t>八</w:t>
            </w:r>
            <w:r w:rsidRPr="00340FC2">
              <w:rPr>
                <w:rFonts w:ascii="Times New Roman" w:eastAsia="標楷體" w:hAnsi="Times New Roman" w:cs="Times New Roman" w:hint="eastAsia"/>
                <w:color w:val="000000" w:themeColor="text1"/>
                <w:szCs w:val="24"/>
              </w:rPr>
              <w:t xml:space="preserve">) </w:t>
            </w:r>
            <w:r w:rsidRPr="00340FC2">
              <w:rPr>
                <w:rFonts w:ascii="Times New Roman" w:eastAsia="標楷體" w:hAnsi="Times New Roman" w:cs="Times New Roman" w:hint="eastAsia"/>
                <w:color w:val="000000" w:themeColor="text1"/>
                <w:szCs w:val="24"/>
              </w:rPr>
              <w:t>略。</w:t>
            </w:r>
          </w:p>
          <w:p w14:paraId="0341C793" w14:textId="76C0125C" w:rsidR="00C52D63" w:rsidRPr="00340FC2" w:rsidRDefault="00C52D63" w:rsidP="00340FC2">
            <w:pPr>
              <w:snapToGrid w:val="0"/>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七之一、</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十二、</w:t>
            </w:r>
            <w:r w:rsidRPr="00340FC2">
              <w:rPr>
                <w:rFonts w:ascii="Times New Roman" w:eastAsia="標楷體" w:hAnsi="Times New Roman" w:cs="Times New Roman" w:hint="eastAsia"/>
                <w:color w:val="000000" w:themeColor="text1"/>
                <w:szCs w:val="24"/>
              </w:rPr>
              <w:t xml:space="preserve"> </w:t>
            </w:r>
            <w:r w:rsidRPr="00340FC2">
              <w:rPr>
                <w:rFonts w:ascii="Times New Roman" w:eastAsia="標楷體" w:hAnsi="Times New Roman" w:cs="Times New Roman" w:hint="eastAsia"/>
                <w:color w:val="000000" w:themeColor="text1"/>
                <w:szCs w:val="24"/>
              </w:rPr>
              <w:t>略</w:t>
            </w:r>
          </w:p>
        </w:tc>
        <w:tc>
          <w:tcPr>
            <w:tcW w:w="3118" w:type="dxa"/>
          </w:tcPr>
          <w:p w14:paraId="5FB3C69F" w14:textId="098E7939" w:rsidR="00872D31" w:rsidRPr="00340FC2" w:rsidRDefault="00E0042A" w:rsidP="00340FC2">
            <w:pPr>
              <w:snapToGrid w:val="0"/>
              <w:ind w:left="497" w:hangingChars="207" w:hanging="497"/>
              <w:jc w:val="both"/>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一、</w:t>
            </w:r>
            <w:r w:rsidR="00872D31" w:rsidRPr="00340FC2">
              <w:rPr>
                <w:rFonts w:ascii="Times New Roman" w:eastAsia="標楷體" w:hAnsi="Times New Roman" w:cs="Times New Roman" w:hint="eastAsia"/>
                <w:color w:val="000000" w:themeColor="text1"/>
                <w:szCs w:val="24"/>
              </w:rPr>
              <w:t>為強化審查</w:t>
            </w:r>
            <w:r w:rsidR="00FA54C4" w:rsidRPr="00340FC2">
              <w:rPr>
                <w:rFonts w:ascii="Times New Roman" w:eastAsia="標楷體" w:hAnsi="Times New Roman" w:cs="Times New Roman" w:hint="eastAsia"/>
                <w:color w:val="000000" w:themeColor="text1"/>
                <w:szCs w:val="24"/>
              </w:rPr>
              <w:t>已</w:t>
            </w:r>
            <w:r w:rsidR="00872D31" w:rsidRPr="00340FC2">
              <w:rPr>
                <w:rFonts w:ascii="Times New Roman" w:eastAsia="標楷體" w:hAnsi="Times New Roman" w:cs="Times New Roman" w:hint="eastAsia"/>
                <w:color w:val="000000" w:themeColor="text1"/>
                <w:szCs w:val="24"/>
              </w:rPr>
              <w:t>上市</w:t>
            </w:r>
            <w:r w:rsidR="00872D31" w:rsidRPr="00340FC2">
              <w:rPr>
                <w:rFonts w:ascii="Times New Roman" w:eastAsia="標楷體" w:hAnsi="Times New Roman" w:cs="Times New Roman" w:hint="eastAsia"/>
                <w:color w:val="000000" w:themeColor="text1"/>
                <w:szCs w:val="24"/>
              </w:rPr>
              <w:t>(</w:t>
            </w:r>
            <w:r w:rsidR="00872D31" w:rsidRPr="00340FC2">
              <w:rPr>
                <w:rFonts w:ascii="Times New Roman" w:eastAsia="標楷體" w:hAnsi="Times New Roman" w:cs="Times New Roman" w:hint="eastAsia"/>
                <w:color w:val="000000" w:themeColor="text1"/>
                <w:szCs w:val="24"/>
              </w:rPr>
              <w:t>櫃</w:t>
            </w:r>
            <w:r w:rsidR="00872D31" w:rsidRPr="00340FC2">
              <w:rPr>
                <w:rFonts w:ascii="Times New Roman" w:eastAsia="標楷體" w:hAnsi="Times New Roman" w:cs="Times New Roman" w:hint="eastAsia"/>
                <w:color w:val="000000" w:themeColor="text1"/>
                <w:szCs w:val="24"/>
              </w:rPr>
              <w:t>)</w:t>
            </w:r>
            <w:r w:rsidR="00872D31" w:rsidRPr="00340FC2">
              <w:rPr>
                <w:rFonts w:ascii="Times New Roman" w:eastAsia="標楷體" w:hAnsi="Times New Roman" w:cs="Times New Roman" w:hint="eastAsia"/>
                <w:color w:val="000000" w:themeColor="text1"/>
                <w:szCs w:val="24"/>
              </w:rPr>
              <w:t>公司辦理現金減資後一定期間內即再辦理現金增資發行新股</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含附認股權特別股</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案件</w:t>
            </w:r>
            <w:r w:rsidR="00872D31" w:rsidRPr="00340FC2">
              <w:rPr>
                <w:rFonts w:ascii="Times New Roman" w:eastAsia="標楷體" w:hAnsi="Times New Roman" w:cs="Times New Roman" w:hint="eastAsia"/>
                <w:color w:val="000000" w:themeColor="text1"/>
                <w:szCs w:val="24"/>
              </w:rPr>
              <w:t>之必要性及合理性，增訂參、</w:t>
            </w:r>
            <w:r w:rsidR="00B83186" w:rsidRPr="00340FC2">
              <w:rPr>
                <w:rFonts w:ascii="Times New Roman" w:eastAsia="標楷體" w:hAnsi="Times New Roman" w:cs="Times New Roman" w:hint="eastAsia"/>
                <w:color w:val="000000" w:themeColor="text1"/>
                <w:szCs w:val="24"/>
              </w:rPr>
              <w:t>七</w:t>
            </w:r>
            <w:r w:rsidR="00872D31" w:rsidRPr="00340FC2">
              <w:rPr>
                <w:rFonts w:ascii="Times New Roman" w:eastAsia="標楷體" w:hAnsi="Times New Roman" w:cs="Times New Roman" w:hint="eastAsia"/>
                <w:color w:val="000000" w:themeColor="text1"/>
                <w:szCs w:val="24"/>
              </w:rPr>
              <w:t>、</w:t>
            </w:r>
            <w:r w:rsidR="00872D31" w:rsidRPr="00340FC2">
              <w:rPr>
                <w:rFonts w:ascii="Times New Roman" w:eastAsia="標楷體" w:hAnsi="Times New Roman" w:cs="Times New Roman" w:hint="eastAsia"/>
                <w:color w:val="000000" w:themeColor="text1"/>
                <w:szCs w:val="24"/>
              </w:rPr>
              <w:t>(</w:t>
            </w:r>
            <w:r w:rsidR="00B83186" w:rsidRPr="00340FC2">
              <w:rPr>
                <w:rFonts w:ascii="Times New Roman" w:eastAsia="標楷體" w:hAnsi="Times New Roman" w:cs="Times New Roman" w:hint="eastAsia"/>
                <w:color w:val="000000" w:themeColor="text1"/>
                <w:szCs w:val="24"/>
              </w:rPr>
              <w:t>七</w:t>
            </w:r>
            <w:r w:rsidR="00872D31" w:rsidRPr="00340FC2">
              <w:rPr>
                <w:rFonts w:ascii="Times New Roman" w:eastAsia="標楷體" w:hAnsi="Times New Roman" w:cs="Times New Roman" w:hint="eastAsia"/>
                <w:color w:val="000000" w:themeColor="text1"/>
                <w:szCs w:val="24"/>
              </w:rPr>
              <w:t>之</w:t>
            </w:r>
            <w:proofErr w:type="gramStart"/>
            <w:r w:rsidR="00872D31" w:rsidRPr="00340FC2">
              <w:rPr>
                <w:rFonts w:ascii="Times New Roman" w:eastAsia="標楷體" w:hAnsi="Times New Roman" w:cs="Times New Roman" w:hint="eastAsia"/>
                <w:color w:val="000000" w:themeColor="text1"/>
                <w:szCs w:val="24"/>
              </w:rPr>
              <w:t>一</w:t>
            </w:r>
            <w:proofErr w:type="gramEnd"/>
            <w:r w:rsidR="00872D31" w:rsidRPr="00340FC2">
              <w:rPr>
                <w:rFonts w:ascii="Times New Roman" w:eastAsia="標楷體" w:hAnsi="Times New Roman" w:cs="Times New Roman" w:hint="eastAsia"/>
                <w:color w:val="000000" w:themeColor="text1"/>
                <w:szCs w:val="24"/>
              </w:rPr>
              <w:t>)</w:t>
            </w:r>
            <w:r w:rsidR="00872D31" w:rsidRPr="00340FC2">
              <w:rPr>
                <w:rFonts w:ascii="Times New Roman" w:eastAsia="標楷體" w:hAnsi="Times New Roman" w:cs="Times New Roman" w:hint="eastAsia"/>
                <w:color w:val="000000" w:themeColor="text1"/>
                <w:szCs w:val="24"/>
              </w:rPr>
              <w:t>，明定</w:t>
            </w:r>
            <w:r w:rsidR="00FA54C4" w:rsidRPr="00340FC2">
              <w:rPr>
                <w:rFonts w:ascii="Times New Roman" w:eastAsia="標楷體" w:hAnsi="Times New Roman" w:cs="Times New Roman" w:hint="eastAsia"/>
                <w:color w:val="000000" w:themeColor="text1"/>
                <w:szCs w:val="24"/>
              </w:rPr>
              <w:t>已上市</w:t>
            </w:r>
            <w:r w:rsidR="00FA54C4" w:rsidRPr="00340FC2">
              <w:rPr>
                <w:rFonts w:ascii="Times New Roman" w:eastAsia="標楷體" w:hAnsi="Times New Roman" w:cs="Times New Roman" w:hint="eastAsia"/>
                <w:color w:val="000000" w:themeColor="text1"/>
                <w:szCs w:val="24"/>
              </w:rPr>
              <w:t>(</w:t>
            </w:r>
            <w:r w:rsidR="00FA54C4" w:rsidRPr="00340FC2">
              <w:rPr>
                <w:rFonts w:ascii="Times New Roman" w:eastAsia="標楷體" w:hAnsi="Times New Roman" w:cs="Times New Roman" w:hint="eastAsia"/>
                <w:color w:val="000000" w:themeColor="text1"/>
                <w:szCs w:val="24"/>
              </w:rPr>
              <w:t>櫃</w:t>
            </w:r>
            <w:r w:rsidR="00FA54C4" w:rsidRPr="00340FC2">
              <w:rPr>
                <w:rFonts w:ascii="Times New Roman" w:eastAsia="標楷體" w:hAnsi="Times New Roman" w:cs="Times New Roman" w:hint="eastAsia"/>
                <w:color w:val="000000" w:themeColor="text1"/>
                <w:szCs w:val="24"/>
              </w:rPr>
              <w:t>)</w:t>
            </w:r>
            <w:r w:rsidR="00FA54C4" w:rsidRPr="00340FC2">
              <w:rPr>
                <w:rFonts w:ascii="Times New Roman" w:eastAsia="標楷體" w:hAnsi="Times New Roman" w:cs="Times New Roman" w:hint="eastAsia"/>
                <w:color w:val="000000" w:themeColor="text1"/>
                <w:szCs w:val="24"/>
              </w:rPr>
              <w:t>公司</w:t>
            </w:r>
            <w:r w:rsidR="00872D31" w:rsidRPr="00340FC2">
              <w:rPr>
                <w:rFonts w:ascii="Times New Roman" w:eastAsia="標楷體" w:hAnsi="Times New Roman" w:cs="Times New Roman" w:hint="eastAsia"/>
                <w:color w:val="000000" w:themeColor="text1"/>
                <w:szCs w:val="24"/>
              </w:rPr>
              <w:t>於申報現金增資發行新股</w:t>
            </w:r>
            <w:r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含附認股權特別股</w:t>
            </w:r>
            <w:r w:rsidRPr="00340FC2">
              <w:rPr>
                <w:rFonts w:ascii="Times New Roman" w:eastAsia="標楷體" w:hAnsi="Times New Roman" w:cs="Times New Roman" w:hint="eastAsia"/>
                <w:color w:val="000000" w:themeColor="text1"/>
                <w:szCs w:val="24"/>
              </w:rPr>
              <w:t>)</w:t>
            </w:r>
            <w:r w:rsidR="00872D31" w:rsidRPr="00340FC2">
              <w:rPr>
                <w:rFonts w:ascii="Times New Roman" w:eastAsia="標楷體" w:hAnsi="Times New Roman" w:cs="Times New Roman" w:hint="eastAsia"/>
                <w:color w:val="000000" w:themeColor="text1"/>
                <w:szCs w:val="24"/>
              </w:rPr>
              <w:t>案件之</w:t>
            </w:r>
            <w:r w:rsidR="00807F63">
              <w:rPr>
                <w:rFonts w:ascii="Times New Roman" w:eastAsia="標楷體" w:hAnsi="Times New Roman" w:cs="Times New Roman" w:hint="eastAsia"/>
                <w:color w:val="000000" w:themeColor="text1"/>
                <w:szCs w:val="24"/>
              </w:rPr>
              <w:t>申報年度或前一年度</w:t>
            </w:r>
            <w:r w:rsidR="00872D31" w:rsidRPr="00340FC2">
              <w:rPr>
                <w:rFonts w:ascii="Times New Roman" w:eastAsia="標楷體" w:hAnsi="Times New Roman" w:cs="Times New Roman" w:hint="eastAsia"/>
                <w:color w:val="000000" w:themeColor="text1"/>
                <w:szCs w:val="24"/>
              </w:rPr>
              <w:t>有辦理現金減資者，承銷商應就公司現金減資情形加強評估本次辦理募資之必要性及合理性。另為保留</w:t>
            </w:r>
            <w:r w:rsidR="00B83186" w:rsidRPr="00340FC2">
              <w:rPr>
                <w:rFonts w:ascii="Times New Roman" w:eastAsia="標楷體" w:hAnsi="Times New Roman" w:cs="Times New Roman" w:hint="eastAsia"/>
                <w:color w:val="000000" w:themeColor="text1"/>
                <w:szCs w:val="24"/>
              </w:rPr>
              <w:t>發行人</w:t>
            </w:r>
            <w:r w:rsidR="00872D31" w:rsidRPr="00340FC2">
              <w:rPr>
                <w:rFonts w:ascii="Times New Roman" w:eastAsia="標楷體" w:hAnsi="Times New Roman" w:cs="Times New Roman" w:hint="eastAsia"/>
                <w:color w:val="000000" w:themeColor="text1"/>
                <w:szCs w:val="24"/>
              </w:rPr>
              <w:t>辦理現金減資申報年度或未來</w:t>
            </w:r>
            <w:proofErr w:type="gramStart"/>
            <w:r w:rsidR="00872D31" w:rsidRPr="00340FC2">
              <w:rPr>
                <w:rFonts w:ascii="Times New Roman" w:eastAsia="標楷體" w:hAnsi="Times New Roman" w:cs="Times New Roman" w:hint="eastAsia"/>
                <w:color w:val="000000" w:themeColor="text1"/>
                <w:szCs w:val="24"/>
              </w:rPr>
              <w:t>一</w:t>
            </w:r>
            <w:proofErr w:type="gramEnd"/>
            <w:r w:rsidR="00872D31" w:rsidRPr="00340FC2">
              <w:rPr>
                <w:rFonts w:ascii="Times New Roman" w:eastAsia="標楷體" w:hAnsi="Times New Roman" w:cs="Times New Roman" w:hint="eastAsia"/>
                <w:color w:val="000000" w:themeColor="text1"/>
                <w:szCs w:val="24"/>
              </w:rPr>
              <w:t>年度資金需求彈性，</w:t>
            </w:r>
            <w:r w:rsidR="00B83186" w:rsidRPr="00340FC2">
              <w:rPr>
                <w:rFonts w:ascii="Times New Roman" w:eastAsia="標楷體" w:hAnsi="Times New Roman" w:cs="Times New Roman" w:hint="eastAsia"/>
                <w:color w:val="000000" w:themeColor="text1"/>
                <w:szCs w:val="24"/>
              </w:rPr>
              <w:t>發行人</w:t>
            </w:r>
            <w:r w:rsidR="00872D31" w:rsidRPr="00340FC2">
              <w:rPr>
                <w:rFonts w:ascii="Times New Roman" w:eastAsia="標楷體" w:hAnsi="Times New Roman" w:cs="Times New Roman" w:hint="eastAsia"/>
                <w:color w:val="000000" w:themeColor="text1"/>
                <w:szCs w:val="24"/>
              </w:rPr>
              <w:t>嗣後如</w:t>
            </w:r>
            <w:proofErr w:type="gramStart"/>
            <w:r w:rsidR="00872D31" w:rsidRPr="00340FC2">
              <w:rPr>
                <w:rFonts w:ascii="Times New Roman" w:eastAsia="標楷體" w:hAnsi="Times New Roman" w:cs="Times New Roman" w:hint="eastAsia"/>
                <w:color w:val="000000" w:themeColor="text1"/>
                <w:szCs w:val="24"/>
              </w:rPr>
              <w:t>確有募資</w:t>
            </w:r>
            <w:proofErr w:type="gramEnd"/>
            <w:r w:rsidR="00872D31" w:rsidRPr="00340FC2">
              <w:rPr>
                <w:rFonts w:ascii="Times New Roman" w:eastAsia="標楷體" w:hAnsi="Times New Roman" w:cs="Times New Roman" w:hint="eastAsia"/>
                <w:color w:val="000000" w:themeColor="text1"/>
                <w:szCs w:val="24"/>
              </w:rPr>
              <w:t>需求，應於</w:t>
            </w:r>
            <w:proofErr w:type="gramStart"/>
            <w:r w:rsidR="00872D31" w:rsidRPr="00340FC2">
              <w:rPr>
                <w:rFonts w:ascii="Times New Roman" w:eastAsia="標楷體" w:hAnsi="Times New Roman" w:cs="Times New Roman" w:hint="eastAsia"/>
                <w:color w:val="000000" w:themeColor="text1"/>
                <w:szCs w:val="24"/>
              </w:rPr>
              <w:t>該次募資</w:t>
            </w:r>
            <w:proofErr w:type="gramEnd"/>
            <w:r w:rsidR="00872D31" w:rsidRPr="00340FC2">
              <w:rPr>
                <w:rFonts w:ascii="Times New Roman" w:eastAsia="標楷體" w:hAnsi="Times New Roman" w:cs="Times New Roman" w:hint="eastAsia"/>
                <w:color w:val="000000" w:themeColor="text1"/>
                <w:szCs w:val="24"/>
              </w:rPr>
              <w:t>提報審計委員會及董事會決議時，就「現金減資後</w:t>
            </w:r>
            <w:proofErr w:type="gramStart"/>
            <w:r w:rsidR="00872D31" w:rsidRPr="00340FC2">
              <w:rPr>
                <w:rFonts w:ascii="Times New Roman" w:eastAsia="標楷體" w:hAnsi="Times New Roman" w:cs="Times New Roman" w:hint="eastAsia"/>
                <w:color w:val="000000" w:themeColor="text1"/>
                <w:szCs w:val="24"/>
              </w:rPr>
              <w:t>再行募資</w:t>
            </w:r>
            <w:proofErr w:type="gramEnd"/>
            <w:r w:rsidR="00872D31" w:rsidRPr="00340FC2">
              <w:rPr>
                <w:rFonts w:ascii="Times New Roman" w:eastAsia="標楷體" w:hAnsi="Times New Roman" w:cs="Times New Roman" w:hint="eastAsia"/>
                <w:color w:val="000000" w:themeColor="text1"/>
                <w:szCs w:val="24"/>
              </w:rPr>
              <w:t>之必要性及合理性」討論並作成書面紀錄，並提報股東會說明</w:t>
            </w:r>
            <w:r w:rsidR="00B83186" w:rsidRPr="00340FC2">
              <w:rPr>
                <w:rFonts w:ascii="Times New Roman" w:eastAsia="標楷體" w:hAnsi="Times New Roman" w:cs="Times New Roman" w:hint="eastAsia"/>
                <w:color w:val="000000" w:themeColor="text1"/>
                <w:szCs w:val="24"/>
              </w:rPr>
              <w:t>。</w:t>
            </w:r>
          </w:p>
          <w:p w14:paraId="0D91F5D9" w14:textId="6EC2F828" w:rsidR="00E0042A" w:rsidRPr="00340FC2" w:rsidRDefault="00E0042A" w:rsidP="00807F63">
            <w:pPr>
              <w:snapToGrid w:val="0"/>
              <w:ind w:left="370" w:hangingChars="154" w:hanging="370"/>
              <w:jc w:val="both"/>
              <w:rPr>
                <w:rFonts w:ascii="Times New Roman" w:eastAsia="標楷體" w:hAnsi="Times New Roman" w:cs="Times New Roman"/>
                <w:color w:val="000000" w:themeColor="text1"/>
                <w:szCs w:val="24"/>
              </w:rPr>
            </w:pPr>
            <w:r w:rsidRPr="00340FC2">
              <w:rPr>
                <w:rFonts w:ascii="Times New Roman" w:eastAsia="標楷體" w:hAnsi="Times New Roman" w:cs="Times New Roman" w:hint="eastAsia"/>
                <w:color w:val="000000" w:themeColor="text1"/>
                <w:szCs w:val="24"/>
              </w:rPr>
              <w:t>二、</w:t>
            </w:r>
            <w:r w:rsidR="00FA54C4" w:rsidRPr="00340FC2">
              <w:rPr>
                <w:rFonts w:ascii="Times New Roman" w:eastAsia="標楷體" w:hAnsi="Times New Roman" w:cs="Times New Roman" w:hint="eastAsia"/>
                <w:color w:val="000000" w:themeColor="text1"/>
                <w:szCs w:val="24"/>
              </w:rPr>
              <w:t>依</w:t>
            </w:r>
            <w:r w:rsidR="00807F63">
              <w:rPr>
                <w:rFonts w:ascii="Times New Roman" w:eastAsia="標楷體" w:hAnsi="Times New Roman" w:cs="Times New Roman" w:hint="eastAsia"/>
                <w:color w:val="000000" w:themeColor="text1"/>
                <w:szCs w:val="24"/>
              </w:rPr>
              <w:t>第</w:t>
            </w:r>
            <w:r w:rsidR="00FA54C4" w:rsidRPr="00340FC2">
              <w:rPr>
                <w:rFonts w:ascii="Times New Roman" w:eastAsia="標楷體" w:hAnsi="Times New Roman" w:cs="Times New Roman" w:hint="eastAsia"/>
                <w:color w:val="000000" w:themeColor="text1"/>
                <w:szCs w:val="24"/>
              </w:rPr>
              <w:t>伍</w:t>
            </w:r>
            <w:r w:rsidR="00807F63">
              <w:rPr>
                <w:rFonts w:ascii="Times New Roman" w:eastAsia="標楷體" w:hAnsi="Times New Roman" w:cs="Times New Roman" w:hint="eastAsia"/>
                <w:color w:val="000000" w:themeColor="text1"/>
                <w:szCs w:val="24"/>
              </w:rPr>
              <w:t>點及第</w:t>
            </w:r>
            <w:r w:rsidR="00FA54C4" w:rsidRPr="00340FC2">
              <w:rPr>
                <w:rFonts w:ascii="Times New Roman" w:eastAsia="標楷體" w:hAnsi="Times New Roman" w:cs="Times New Roman" w:hint="eastAsia"/>
                <w:color w:val="000000" w:themeColor="text1"/>
                <w:szCs w:val="24"/>
              </w:rPr>
              <w:t>陸</w:t>
            </w:r>
            <w:r w:rsidR="00807F63">
              <w:rPr>
                <w:rFonts w:ascii="Times New Roman" w:eastAsia="標楷體" w:hAnsi="Times New Roman" w:cs="Times New Roman" w:hint="eastAsia"/>
                <w:color w:val="000000" w:themeColor="text1"/>
                <w:szCs w:val="24"/>
              </w:rPr>
              <w:t>點規定</w:t>
            </w:r>
            <w:r w:rsidR="00FA54C4" w:rsidRPr="00340FC2">
              <w:rPr>
                <w:rFonts w:ascii="Times New Roman" w:eastAsia="標楷體" w:hAnsi="Times New Roman" w:cs="Times New Roman" w:hint="eastAsia"/>
                <w:color w:val="000000" w:themeColor="text1"/>
                <w:szCs w:val="24"/>
              </w:rPr>
              <w:t>，</w:t>
            </w:r>
            <w:r w:rsidRPr="00340FC2">
              <w:rPr>
                <w:rFonts w:ascii="Times New Roman" w:eastAsia="標楷體" w:hAnsi="Times New Roman" w:cs="Times New Roman" w:hint="eastAsia"/>
                <w:color w:val="000000" w:themeColor="text1"/>
                <w:szCs w:val="24"/>
              </w:rPr>
              <w:t>上開查核程序於發行轉換公司債及附認股權公司債</w:t>
            </w:r>
            <w:proofErr w:type="gramStart"/>
            <w:r w:rsidRPr="00340FC2">
              <w:rPr>
                <w:rFonts w:ascii="Times New Roman" w:eastAsia="標楷體" w:hAnsi="Times New Roman" w:cs="Times New Roman" w:hint="eastAsia"/>
                <w:color w:val="000000" w:themeColor="text1"/>
                <w:szCs w:val="24"/>
              </w:rPr>
              <w:t>準</w:t>
            </w:r>
            <w:proofErr w:type="gramEnd"/>
            <w:r w:rsidRPr="00340FC2">
              <w:rPr>
                <w:rFonts w:ascii="Times New Roman" w:eastAsia="標楷體" w:hAnsi="Times New Roman" w:cs="Times New Roman" w:hint="eastAsia"/>
                <w:color w:val="000000" w:themeColor="text1"/>
                <w:szCs w:val="24"/>
              </w:rPr>
              <w:t>用之。</w:t>
            </w:r>
          </w:p>
        </w:tc>
      </w:tr>
    </w:tbl>
    <w:p w14:paraId="0CEDE1C8" w14:textId="77777777" w:rsidR="00D842C2" w:rsidRPr="006751E6" w:rsidRDefault="00D842C2">
      <w:pPr>
        <w:rPr>
          <w:color w:val="000000" w:themeColor="text1"/>
        </w:rPr>
      </w:pPr>
    </w:p>
    <w:sectPr w:rsidR="00D842C2" w:rsidRPr="006751E6" w:rsidSect="00FA54C4">
      <w:footerReference w:type="default" r:id="rId7"/>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5A87F" w14:textId="77777777" w:rsidR="001C2161" w:rsidRDefault="001C2161" w:rsidP="001033CB">
      <w:r>
        <w:separator/>
      </w:r>
    </w:p>
  </w:endnote>
  <w:endnote w:type="continuationSeparator" w:id="0">
    <w:p w14:paraId="72EDB573" w14:textId="77777777" w:rsidR="001C2161" w:rsidRDefault="001C2161" w:rsidP="00103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1207" w14:textId="0F2357E7" w:rsidR="001033CB" w:rsidRDefault="001033CB">
    <w:pPr>
      <w:pStyle w:val="a8"/>
      <w:jc w:val="center"/>
    </w:pPr>
  </w:p>
  <w:p w14:paraId="01B46CDA" w14:textId="77777777" w:rsidR="001033CB" w:rsidRDefault="001033C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2CD7F" w14:textId="77777777" w:rsidR="001C2161" w:rsidRDefault="001C2161" w:rsidP="001033CB">
      <w:r>
        <w:separator/>
      </w:r>
    </w:p>
  </w:footnote>
  <w:footnote w:type="continuationSeparator" w:id="0">
    <w:p w14:paraId="7E859817" w14:textId="77777777" w:rsidR="001C2161" w:rsidRDefault="001C2161" w:rsidP="00103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3B6"/>
    <w:multiLevelType w:val="multilevel"/>
    <w:tmpl w:val="9E825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92CBC"/>
    <w:multiLevelType w:val="hybridMultilevel"/>
    <w:tmpl w:val="168E9B66"/>
    <w:lvl w:ilvl="0" w:tplc="9BE63F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244D20"/>
    <w:multiLevelType w:val="multilevel"/>
    <w:tmpl w:val="26FCF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D5088C"/>
    <w:multiLevelType w:val="multilevel"/>
    <w:tmpl w:val="26D07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B3778"/>
    <w:multiLevelType w:val="multilevel"/>
    <w:tmpl w:val="67603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322DA7"/>
    <w:multiLevelType w:val="hybridMultilevel"/>
    <w:tmpl w:val="003A138E"/>
    <w:lvl w:ilvl="0" w:tplc="B40CD5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9641769"/>
    <w:multiLevelType w:val="hybridMultilevel"/>
    <w:tmpl w:val="16B2FE30"/>
    <w:lvl w:ilvl="0" w:tplc="E2B00B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C6E3723"/>
    <w:multiLevelType w:val="multilevel"/>
    <w:tmpl w:val="16700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04315E"/>
    <w:multiLevelType w:val="multilevel"/>
    <w:tmpl w:val="60365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5005717">
    <w:abstractNumId w:val="2"/>
  </w:num>
  <w:num w:numId="2" w16cid:durableId="1509641416">
    <w:abstractNumId w:val="0"/>
  </w:num>
  <w:num w:numId="3" w16cid:durableId="1195851570">
    <w:abstractNumId w:val="7"/>
  </w:num>
  <w:num w:numId="4" w16cid:durableId="470558718">
    <w:abstractNumId w:val="8"/>
  </w:num>
  <w:num w:numId="5" w16cid:durableId="1998916770">
    <w:abstractNumId w:val="1"/>
  </w:num>
  <w:num w:numId="6" w16cid:durableId="1740249161">
    <w:abstractNumId w:val="5"/>
  </w:num>
  <w:num w:numId="7" w16cid:durableId="1077363559">
    <w:abstractNumId w:val="3"/>
  </w:num>
  <w:num w:numId="8" w16cid:durableId="217865640">
    <w:abstractNumId w:val="4"/>
  </w:num>
  <w:num w:numId="9" w16cid:durableId="6266604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2C2"/>
    <w:rsid w:val="00000D09"/>
    <w:rsid w:val="00001125"/>
    <w:rsid w:val="00070C0E"/>
    <w:rsid w:val="00071AF0"/>
    <w:rsid w:val="00072B3C"/>
    <w:rsid w:val="00084EF8"/>
    <w:rsid w:val="000A37BF"/>
    <w:rsid w:val="000B40F9"/>
    <w:rsid w:val="001033CB"/>
    <w:rsid w:val="0018442B"/>
    <w:rsid w:val="00184B05"/>
    <w:rsid w:val="001B4B82"/>
    <w:rsid w:val="001C2161"/>
    <w:rsid w:val="001C489D"/>
    <w:rsid w:val="001D15AD"/>
    <w:rsid w:val="001D76A0"/>
    <w:rsid w:val="001E3477"/>
    <w:rsid w:val="00203933"/>
    <w:rsid w:val="00273734"/>
    <w:rsid w:val="00277F55"/>
    <w:rsid w:val="00280755"/>
    <w:rsid w:val="002A24DC"/>
    <w:rsid w:val="00325B0C"/>
    <w:rsid w:val="00340FC2"/>
    <w:rsid w:val="003D2D1D"/>
    <w:rsid w:val="003E1DD6"/>
    <w:rsid w:val="003F45D5"/>
    <w:rsid w:val="004125D0"/>
    <w:rsid w:val="00416A77"/>
    <w:rsid w:val="00481FB5"/>
    <w:rsid w:val="0049708D"/>
    <w:rsid w:val="004C2271"/>
    <w:rsid w:val="00513805"/>
    <w:rsid w:val="0052018E"/>
    <w:rsid w:val="005365A4"/>
    <w:rsid w:val="00541B38"/>
    <w:rsid w:val="005532DF"/>
    <w:rsid w:val="00567558"/>
    <w:rsid w:val="005A2128"/>
    <w:rsid w:val="005C0E39"/>
    <w:rsid w:val="005D7421"/>
    <w:rsid w:val="005D7A47"/>
    <w:rsid w:val="00604580"/>
    <w:rsid w:val="006203AB"/>
    <w:rsid w:val="0067115C"/>
    <w:rsid w:val="006751E6"/>
    <w:rsid w:val="006C17F6"/>
    <w:rsid w:val="006C1911"/>
    <w:rsid w:val="0073648C"/>
    <w:rsid w:val="007512A4"/>
    <w:rsid w:val="00751BCD"/>
    <w:rsid w:val="00766ADB"/>
    <w:rsid w:val="008033DF"/>
    <w:rsid w:val="00807F63"/>
    <w:rsid w:val="00815EDA"/>
    <w:rsid w:val="00834D00"/>
    <w:rsid w:val="00852861"/>
    <w:rsid w:val="008701DB"/>
    <w:rsid w:val="00872D31"/>
    <w:rsid w:val="00890C22"/>
    <w:rsid w:val="008B2D2D"/>
    <w:rsid w:val="0094657F"/>
    <w:rsid w:val="0097772F"/>
    <w:rsid w:val="009828FD"/>
    <w:rsid w:val="009A06CF"/>
    <w:rsid w:val="009D0F3C"/>
    <w:rsid w:val="009E05B5"/>
    <w:rsid w:val="009F5EF3"/>
    <w:rsid w:val="00A132E7"/>
    <w:rsid w:val="00A30E4A"/>
    <w:rsid w:val="00A5141D"/>
    <w:rsid w:val="00A60AB6"/>
    <w:rsid w:val="00A63664"/>
    <w:rsid w:val="00A657C6"/>
    <w:rsid w:val="00A77353"/>
    <w:rsid w:val="00A90032"/>
    <w:rsid w:val="00AB51DA"/>
    <w:rsid w:val="00AC3F88"/>
    <w:rsid w:val="00AD4299"/>
    <w:rsid w:val="00B06A79"/>
    <w:rsid w:val="00B50063"/>
    <w:rsid w:val="00B51C0E"/>
    <w:rsid w:val="00B62955"/>
    <w:rsid w:val="00B83186"/>
    <w:rsid w:val="00BB1C5B"/>
    <w:rsid w:val="00BC532D"/>
    <w:rsid w:val="00C1636C"/>
    <w:rsid w:val="00C310C3"/>
    <w:rsid w:val="00C52D63"/>
    <w:rsid w:val="00C8463F"/>
    <w:rsid w:val="00C93924"/>
    <w:rsid w:val="00D00550"/>
    <w:rsid w:val="00D0797D"/>
    <w:rsid w:val="00D361AD"/>
    <w:rsid w:val="00D36EFE"/>
    <w:rsid w:val="00D633CE"/>
    <w:rsid w:val="00D842C2"/>
    <w:rsid w:val="00D94AA6"/>
    <w:rsid w:val="00DA0D10"/>
    <w:rsid w:val="00DF30E5"/>
    <w:rsid w:val="00E0042A"/>
    <w:rsid w:val="00E11B11"/>
    <w:rsid w:val="00E17661"/>
    <w:rsid w:val="00E42407"/>
    <w:rsid w:val="00E5710E"/>
    <w:rsid w:val="00E8176A"/>
    <w:rsid w:val="00E911DF"/>
    <w:rsid w:val="00E938FE"/>
    <w:rsid w:val="00ED01AE"/>
    <w:rsid w:val="00F07AF1"/>
    <w:rsid w:val="00F11458"/>
    <w:rsid w:val="00F16BC0"/>
    <w:rsid w:val="00F1753F"/>
    <w:rsid w:val="00F2035F"/>
    <w:rsid w:val="00F55D12"/>
    <w:rsid w:val="00F72E88"/>
    <w:rsid w:val="00FA54C4"/>
    <w:rsid w:val="00FB133B"/>
    <w:rsid w:val="00FE3951"/>
    <w:rsid w:val="00FE5C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E35BB"/>
  <w15:chartTrackingRefBased/>
  <w15:docId w15:val="{F01A039D-649D-4965-BAD9-688ED062A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4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11B11"/>
    <w:rPr>
      <w:color w:val="0000FF"/>
      <w:u w:val="single"/>
    </w:rPr>
  </w:style>
  <w:style w:type="paragraph" w:styleId="a5">
    <w:name w:val="List Paragraph"/>
    <w:basedOn w:val="a"/>
    <w:uiPriority w:val="34"/>
    <w:qFormat/>
    <w:rsid w:val="00B50063"/>
    <w:pPr>
      <w:ind w:leftChars="200" w:left="480"/>
    </w:pPr>
  </w:style>
  <w:style w:type="paragraph" w:styleId="a6">
    <w:name w:val="header"/>
    <w:basedOn w:val="a"/>
    <w:link w:val="a7"/>
    <w:uiPriority w:val="99"/>
    <w:unhideWhenUsed/>
    <w:rsid w:val="001033CB"/>
    <w:pPr>
      <w:tabs>
        <w:tab w:val="center" w:pos="4153"/>
        <w:tab w:val="right" w:pos="8306"/>
      </w:tabs>
      <w:snapToGrid w:val="0"/>
    </w:pPr>
    <w:rPr>
      <w:sz w:val="20"/>
      <w:szCs w:val="20"/>
    </w:rPr>
  </w:style>
  <w:style w:type="character" w:customStyle="1" w:styleId="a7">
    <w:name w:val="頁首 字元"/>
    <w:basedOn w:val="a0"/>
    <w:link w:val="a6"/>
    <w:uiPriority w:val="99"/>
    <w:rsid w:val="001033CB"/>
    <w:rPr>
      <w:sz w:val="20"/>
      <w:szCs w:val="20"/>
    </w:rPr>
  </w:style>
  <w:style w:type="paragraph" w:styleId="a8">
    <w:name w:val="footer"/>
    <w:basedOn w:val="a"/>
    <w:link w:val="a9"/>
    <w:uiPriority w:val="99"/>
    <w:unhideWhenUsed/>
    <w:rsid w:val="001033CB"/>
    <w:pPr>
      <w:tabs>
        <w:tab w:val="center" w:pos="4153"/>
        <w:tab w:val="right" w:pos="8306"/>
      </w:tabs>
      <w:snapToGrid w:val="0"/>
    </w:pPr>
    <w:rPr>
      <w:sz w:val="20"/>
      <w:szCs w:val="20"/>
    </w:rPr>
  </w:style>
  <w:style w:type="character" w:customStyle="1" w:styleId="a9">
    <w:name w:val="頁尾 字元"/>
    <w:basedOn w:val="a0"/>
    <w:link w:val="a8"/>
    <w:uiPriority w:val="99"/>
    <w:rsid w:val="001033CB"/>
    <w:rPr>
      <w:sz w:val="20"/>
      <w:szCs w:val="20"/>
    </w:rPr>
  </w:style>
  <w:style w:type="paragraph" w:customStyle="1" w:styleId="Default">
    <w:name w:val="Default"/>
    <w:rsid w:val="00481FB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23354">
      <w:bodyDiv w:val="1"/>
      <w:marLeft w:val="0"/>
      <w:marRight w:val="0"/>
      <w:marTop w:val="0"/>
      <w:marBottom w:val="0"/>
      <w:divBdr>
        <w:top w:val="none" w:sz="0" w:space="0" w:color="auto"/>
        <w:left w:val="none" w:sz="0" w:space="0" w:color="auto"/>
        <w:bottom w:val="none" w:sz="0" w:space="0" w:color="auto"/>
        <w:right w:val="none" w:sz="0" w:space="0" w:color="auto"/>
      </w:divBdr>
      <w:divsChild>
        <w:div w:id="444080899">
          <w:marLeft w:val="0"/>
          <w:marRight w:val="0"/>
          <w:marTop w:val="0"/>
          <w:marBottom w:val="0"/>
          <w:divBdr>
            <w:top w:val="none" w:sz="0" w:space="0" w:color="auto"/>
            <w:left w:val="none" w:sz="0" w:space="0" w:color="auto"/>
            <w:bottom w:val="none" w:sz="0" w:space="0" w:color="auto"/>
            <w:right w:val="none" w:sz="0" w:space="0" w:color="auto"/>
          </w:divBdr>
        </w:div>
        <w:div w:id="2043705416">
          <w:marLeft w:val="0"/>
          <w:marRight w:val="0"/>
          <w:marTop w:val="0"/>
          <w:marBottom w:val="0"/>
          <w:divBdr>
            <w:top w:val="none" w:sz="0" w:space="0" w:color="auto"/>
            <w:left w:val="none" w:sz="0" w:space="0" w:color="auto"/>
            <w:bottom w:val="none" w:sz="0" w:space="0" w:color="auto"/>
            <w:right w:val="none" w:sz="0" w:space="0" w:color="auto"/>
          </w:divBdr>
          <w:divsChild>
            <w:div w:id="1017997324">
              <w:marLeft w:val="0"/>
              <w:marRight w:val="0"/>
              <w:marTop w:val="0"/>
              <w:marBottom w:val="0"/>
              <w:divBdr>
                <w:top w:val="none" w:sz="0" w:space="0" w:color="auto"/>
                <w:left w:val="none" w:sz="0" w:space="0" w:color="auto"/>
                <w:bottom w:val="none" w:sz="0" w:space="0" w:color="auto"/>
                <w:right w:val="none" w:sz="0" w:space="0" w:color="auto"/>
              </w:divBdr>
            </w:div>
            <w:div w:id="1157839428">
              <w:marLeft w:val="0"/>
              <w:marRight w:val="0"/>
              <w:marTop w:val="0"/>
              <w:marBottom w:val="0"/>
              <w:divBdr>
                <w:top w:val="none" w:sz="0" w:space="0" w:color="auto"/>
                <w:left w:val="none" w:sz="0" w:space="0" w:color="auto"/>
                <w:bottom w:val="none" w:sz="0" w:space="0" w:color="auto"/>
                <w:right w:val="none" w:sz="0" w:space="0" w:color="auto"/>
              </w:divBdr>
            </w:div>
            <w:div w:id="15815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396018">
      <w:bodyDiv w:val="1"/>
      <w:marLeft w:val="0"/>
      <w:marRight w:val="0"/>
      <w:marTop w:val="0"/>
      <w:marBottom w:val="0"/>
      <w:divBdr>
        <w:top w:val="none" w:sz="0" w:space="0" w:color="auto"/>
        <w:left w:val="none" w:sz="0" w:space="0" w:color="auto"/>
        <w:bottom w:val="none" w:sz="0" w:space="0" w:color="auto"/>
        <w:right w:val="none" w:sz="0" w:space="0" w:color="auto"/>
      </w:divBdr>
      <w:divsChild>
        <w:div w:id="1774283140">
          <w:marLeft w:val="0"/>
          <w:marRight w:val="0"/>
          <w:marTop w:val="0"/>
          <w:marBottom w:val="0"/>
          <w:divBdr>
            <w:top w:val="none" w:sz="0" w:space="0" w:color="auto"/>
            <w:left w:val="none" w:sz="0" w:space="0" w:color="auto"/>
            <w:bottom w:val="none" w:sz="0" w:space="0" w:color="auto"/>
            <w:right w:val="none" w:sz="0" w:space="0" w:color="auto"/>
          </w:divBdr>
        </w:div>
        <w:div w:id="2138797582">
          <w:marLeft w:val="0"/>
          <w:marRight w:val="0"/>
          <w:marTop w:val="0"/>
          <w:marBottom w:val="0"/>
          <w:divBdr>
            <w:top w:val="none" w:sz="0" w:space="0" w:color="auto"/>
            <w:left w:val="none" w:sz="0" w:space="0" w:color="auto"/>
            <w:bottom w:val="none" w:sz="0" w:space="0" w:color="auto"/>
            <w:right w:val="none" w:sz="0" w:space="0" w:color="auto"/>
          </w:divBdr>
        </w:div>
        <w:div w:id="674649358">
          <w:marLeft w:val="0"/>
          <w:marRight w:val="0"/>
          <w:marTop w:val="0"/>
          <w:marBottom w:val="0"/>
          <w:divBdr>
            <w:top w:val="none" w:sz="0" w:space="0" w:color="auto"/>
            <w:left w:val="none" w:sz="0" w:space="0" w:color="auto"/>
            <w:bottom w:val="none" w:sz="0" w:space="0" w:color="auto"/>
            <w:right w:val="none" w:sz="0" w:space="0" w:color="auto"/>
          </w:divBdr>
        </w:div>
        <w:div w:id="564685201">
          <w:marLeft w:val="0"/>
          <w:marRight w:val="0"/>
          <w:marTop w:val="0"/>
          <w:marBottom w:val="0"/>
          <w:divBdr>
            <w:top w:val="none" w:sz="0" w:space="0" w:color="auto"/>
            <w:left w:val="none" w:sz="0" w:space="0" w:color="auto"/>
            <w:bottom w:val="none" w:sz="0" w:space="0" w:color="auto"/>
            <w:right w:val="none" w:sz="0" w:space="0" w:color="auto"/>
          </w:divBdr>
        </w:div>
      </w:divsChild>
    </w:div>
    <w:div w:id="421953514">
      <w:bodyDiv w:val="1"/>
      <w:marLeft w:val="0"/>
      <w:marRight w:val="0"/>
      <w:marTop w:val="0"/>
      <w:marBottom w:val="0"/>
      <w:divBdr>
        <w:top w:val="none" w:sz="0" w:space="0" w:color="auto"/>
        <w:left w:val="none" w:sz="0" w:space="0" w:color="auto"/>
        <w:bottom w:val="none" w:sz="0" w:space="0" w:color="auto"/>
        <w:right w:val="none" w:sz="0" w:space="0" w:color="auto"/>
      </w:divBdr>
      <w:divsChild>
        <w:div w:id="1199931315">
          <w:marLeft w:val="0"/>
          <w:marRight w:val="0"/>
          <w:marTop w:val="0"/>
          <w:marBottom w:val="0"/>
          <w:divBdr>
            <w:top w:val="none" w:sz="0" w:space="0" w:color="auto"/>
            <w:left w:val="none" w:sz="0" w:space="0" w:color="auto"/>
            <w:bottom w:val="none" w:sz="0" w:space="0" w:color="auto"/>
            <w:right w:val="none" w:sz="0" w:space="0" w:color="auto"/>
          </w:divBdr>
        </w:div>
      </w:divsChild>
    </w:div>
    <w:div w:id="457645689">
      <w:bodyDiv w:val="1"/>
      <w:marLeft w:val="0"/>
      <w:marRight w:val="0"/>
      <w:marTop w:val="0"/>
      <w:marBottom w:val="0"/>
      <w:divBdr>
        <w:top w:val="none" w:sz="0" w:space="0" w:color="auto"/>
        <w:left w:val="none" w:sz="0" w:space="0" w:color="auto"/>
        <w:bottom w:val="none" w:sz="0" w:space="0" w:color="auto"/>
        <w:right w:val="none" w:sz="0" w:space="0" w:color="auto"/>
      </w:divBdr>
      <w:divsChild>
        <w:div w:id="1277717182">
          <w:marLeft w:val="0"/>
          <w:marRight w:val="0"/>
          <w:marTop w:val="0"/>
          <w:marBottom w:val="0"/>
          <w:divBdr>
            <w:top w:val="none" w:sz="0" w:space="0" w:color="auto"/>
            <w:left w:val="none" w:sz="0" w:space="0" w:color="auto"/>
            <w:bottom w:val="none" w:sz="0" w:space="0" w:color="auto"/>
            <w:right w:val="none" w:sz="0" w:space="0" w:color="auto"/>
          </w:divBdr>
        </w:div>
      </w:divsChild>
    </w:div>
    <w:div w:id="496463426">
      <w:bodyDiv w:val="1"/>
      <w:marLeft w:val="0"/>
      <w:marRight w:val="0"/>
      <w:marTop w:val="0"/>
      <w:marBottom w:val="0"/>
      <w:divBdr>
        <w:top w:val="none" w:sz="0" w:space="0" w:color="auto"/>
        <w:left w:val="none" w:sz="0" w:space="0" w:color="auto"/>
        <w:bottom w:val="none" w:sz="0" w:space="0" w:color="auto"/>
        <w:right w:val="none" w:sz="0" w:space="0" w:color="auto"/>
      </w:divBdr>
      <w:divsChild>
        <w:div w:id="2008097268">
          <w:marLeft w:val="0"/>
          <w:marRight w:val="0"/>
          <w:marTop w:val="0"/>
          <w:marBottom w:val="0"/>
          <w:divBdr>
            <w:top w:val="none" w:sz="0" w:space="0" w:color="auto"/>
            <w:left w:val="none" w:sz="0" w:space="0" w:color="auto"/>
            <w:bottom w:val="none" w:sz="0" w:space="0" w:color="auto"/>
            <w:right w:val="none" w:sz="0" w:space="0" w:color="auto"/>
          </w:divBdr>
        </w:div>
      </w:divsChild>
    </w:div>
    <w:div w:id="1163860525">
      <w:bodyDiv w:val="1"/>
      <w:marLeft w:val="0"/>
      <w:marRight w:val="0"/>
      <w:marTop w:val="0"/>
      <w:marBottom w:val="0"/>
      <w:divBdr>
        <w:top w:val="none" w:sz="0" w:space="0" w:color="auto"/>
        <w:left w:val="none" w:sz="0" w:space="0" w:color="auto"/>
        <w:bottom w:val="none" w:sz="0" w:space="0" w:color="auto"/>
        <w:right w:val="none" w:sz="0" w:space="0" w:color="auto"/>
      </w:divBdr>
      <w:divsChild>
        <w:div w:id="1026249270">
          <w:marLeft w:val="0"/>
          <w:marRight w:val="0"/>
          <w:marTop w:val="0"/>
          <w:marBottom w:val="0"/>
          <w:divBdr>
            <w:top w:val="none" w:sz="0" w:space="0" w:color="auto"/>
            <w:left w:val="none" w:sz="0" w:space="0" w:color="auto"/>
            <w:bottom w:val="none" w:sz="0" w:space="0" w:color="auto"/>
            <w:right w:val="none" w:sz="0" w:space="0" w:color="auto"/>
          </w:divBdr>
        </w:div>
        <w:div w:id="928461749">
          <w:marLeft w:val="0"/>
          <w:marRight w:val="0"/>
          <w:marTop w:val="0"/>
          <w:marBottom w:val="0"/>
          <w:divBdr>
            <w:top w:val="none" w:sz="0" w:space="0" w:color="auto"/>
            <w:left w:val="none" w:sz="0" w:space="0" w:color="auto"/>
            <w:bottom w:val="none" w:sz="0" w:space="0" w:color="auto"/>
            <w:right w:val="none" w:sz="0" w:space="0" w:color="auto"/>
          </w:divBdr>
        </w:div>
      </w:divsChild>
    </w:div>
    <w:div w:id="1315380804">
      <w:bodyDiv w:val="1"/>
      <w:marLeft w:val="0"/>
      <w:marRight w:val="0"/>
      <w:marTop w:val="0"/>
      <w:marBottom w:val="0"/>
      <w:divBdr>
        <w:top w:val="none" w:sz="0" w:space="0" w:color="auto"/>
        <w:left w:val="none" w:sz="0" w:space="0" w:color="auto"/>
        <w:bottom w:val="none" w:sz="0" w:space="0" w:color="auto"/>
        <w:right w:val="none" w:sz="0" w:space="0" w:color="auto"/>
      </w:divBdr>
      <w:divsChild>
        <w:div w:id="626736375">
          <w:marLeft w:val="0"/>
          <w:marRight w:val="0"/>
          <w:marTop w:val="0"/>
          <w:marBottom w:val="0"/>
          <w:divBdr>
            <w:top w:val="none" w:sz="0" w:space="0" w:color="auto"/>
            <w:left w:val="none" w:sz="0" w:space="0" w:color="auto"/>
            <w:bottom w:val="none" w:sz="0" w:space="0" w:color="auto"/>
            <w:right w:val="none" w:sz="0" w:space="0" w:color="auto"/>
          </w:divBdr>
        </w:div>
        <w:div w:id="1632125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124</Words>
  <Characters>707</Characters>
  <Application>Microsoft Office Word</Application>
  <DocSecurity>0</DocSecurity>
  <Lines>5</Lines>
  <Paragraphs>1</Paragraphs>
  <ScaleCrop>false</ScaleCrop>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鍾韻琳</dc:creator>
  <cp:keywords/>
  <dc:description/>
  <cp:lastModifiedBy>629 TWSA</cp:lastModifiedBy>
  <cp:revision>15</cp:revision>
  <cp:lastPrinted>2026-07-08T06:21:00Z</cp:lastPrinted>
  <dcterms:created xsi:type="dcterms:W3CDTF">2026-07-02T02:04:00Z</dcterms:created>
  <dcterms:modified xsi:type="dcterms:W3CDTF">2026-08-14T07:00:00Z</dcterms:modified>
</cp:coreProperties>
</file>